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8217" w:type="dxa"/>
        <w:tblLook w:val="04A0" w:firstRow="1" w:lastRow="0" w:firstColumn="1" w:lastColumn="0" w:noHBand="0" w:noVBand="1"/>
      </w:tblPr>
      <w:tblGrid>
        <w:gridCol w:w="2689"/>
        <w:gridCol w:w="5528"/>
      </w:tblGrid>
      <w:tr w:rsidR="00FA6D81" w:rsidRPr="00214B83" w:rsidTr="007C4EAB">
        <w:trPr>
          <w:trHeight w:val="699"/>
        </w:trPr>
        <w:tc>
          <w:tcPr>
            <w:tcW w:w="8217" w:type="dxa"/>
            <w:gridSpan w:val="2"/>
            <w:shd w:val="clear" w:color="auto" w:fill="A8D08D" w:themeFill="accent6" w:themeFillTint="99"/>
          </w:tcPr>
          <w:p w:rsidR="00FA6D81" w:rsidRPr="00214B83" w:rsidRDefault="00FA6D81" w:rsidP="00A80A71">
            <w:pPr>
              <w:rPr>
                <w:b/>
              </w:rPr>
            </w:pPr>
            <w:r>
              <w:rPr>
                <w:b/>
              </w:rPr>
              <w:br/>
            </w:r>
            <w:r w:rsidRPr="00214B83">
              <w:rPr>
                <w:b/>
              </w:rPr>
              <w:t>Presenter fagstoffet på ulike måter</w:t>
            </w:r>
          </w:p>
        </w:tc>
      </w:tr>
      <w:tr w:rsidR="00FA6D81" w:rsidRPr="00A31A6D" w:rsidTr="00640E27">
        <w:trPr>
          <w:trHeight w:val="2679"/>
        </w:trPr>
        <w:tc>
          <w:tcPr>
            <w:tcW w:w="2689" w:type="dxa"/>
          </w:tcPr>
          <w:p w:rsidR="00FA6D81" w:rsidRPr="00FA6D81" w:rsidRDefault="00FA6D81" w:rsidP="00FA6D81">
            <w:pPr>
              <w:rPr>
                <w:rFonts w:ascii="Helvetica" w:hAnsi="Helvetica" w:cs="Helvetica"/>
                <w:b/>
                <w:noProof/>
                <w:sz w:val="20"/>
              </w:rPr>
            </w:pPr>
            <w:r>
              <w:rPr>
                <w:rFonts w:ascii="Helvetica" w:hAnsi="Helvetica" w:cs="Helvetica"/>
                <w:noProof/>
                <w:sz w:val="20"/>
              </w:rPr>
              <w:br/>
            </w:r>
            <w:r w:rsidRPr="00FA6D81">
              <w:rPr>
                <w:rFonts w:ascii="Helvetica" w:hAnsi="Helvetica" w:cs="Helvetica"/>
                <w:b/>
                <w:noProof/>
                <w:sz w:val="20"/>
              </w:rPr>
              <w:t>Persepsjon</w:t>
            </w:r>
            <w:r w:rsidRPr="00FA6D81">
              <w:rPr>
                <w:rFonts w:ascii="Helvetica" w:hAnsi="Helvetica" w:cs="Helvetica"/>
                <w:b/>
                <w:noProof/>
                <w:sz w:val="20"/>
              </w:rPr>
              <w:br/>
            </w:r>
          </w:p>
          <w:p w:rsidR="00FA6D81" w:rsidRDefault="00FA6D81" w:rsidP="00FA6D81">
            <w:pPr>
              <w:rPr>
                <w:rFonts w:ascii="Helvetica" w:hAnsi="Helvetica" w:cs="Helvetica"/>
                <w:noProof/>
              </w:rPr>
            </w:pPr>
            <w:r w:rsidRPr="00FA6D81">
              <w:rPr>
                <w:rFonts w:ascii="Helvetica" w:hAnsi="Helvetica" w:cs="Helvetica"/>
                <w:noProof/>
              </w:rPr>
              <w:drawing>
                <wp:inline distT="0" distB="0" distL="0" distR="0" wp14:anchorId="019BD090" wp14:editId="519CC295">
                  <wp:extent cx="1429231" cy="1136450"/>
                  <wp:effectExtent l="0" t="0" r="0" b="6985"/>
                  <wp:docPr id="8" name="Picture 2" descr="brain image with the recognition network highlighted in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brain image with the recognition network highlighted in pi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8214" cy="1159496"/>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p>
        </w:tc>
        <w:tc>
          <w:tcPr>
            <w:tcW w:w="5528" w:type="dxa"/>
          </w:tcPr>
          <w:p w:rsidR="00FA6D81" w:rsidRDefault="00FA6D81" w:rsidP="00FA6D81">
            <w:pPr>
              <w:rPr>
                <w:rFonts w:ascii="Helvetica" w:hAnsi="Helvetica" w:cs="Helvetica"/>
                <w:noProof/>
                <w:sz w:val="20"/>
              </w:rPr>
            </w:pPr>
          </w:p>
          <w:p w:rsidR="00FA6D81" w:rsidRDefault="00FA6D81" w:rsidP="00FA6D81">
            <w:pPr>
              <w:rPr>
                <w:rFonts w:cs="Helvetica"/>
                <w:noProof/>
                <w:sz w:val="20"/>
              </w:rPr>
            </w:pPr>
            <w:r w:rsidRPr="00A31A6D">
              <w:rPr>
                <w:rFonts w:cs="Helvetica"/>
                <w:noProof/>
                <w:sz w:val="20"/>
              </w:rPr>
              <w:t>I utformingen av fagemnene må faglærer og student forstå</w:t>
            </w:r>
            <w:r w:rsidRPr="00A31A6D">
              <w:rPr>
                <w:rFonts w:cs="Helvetica"/>
                <w:i/>
                <w:noProof/>
                <w:sz w:val="20"/>
              </w:rPr>
              <w:t xml:space="preserve"> </w:t>
            </w:r>
            <w:r w:rsidRPr="00177189">
              <w:rPr>
                <w:rFonts w:cs="Helvetica"/>
                <w:b/>
                <w:i/>
                <w:noProof/>
                <w:sz w:val="20"/>
              </w:rPr>
              <w:t>hva</w:t>
            </w:r>
            <w:r w:rsidRPr="00A31A6D">
              <w:rPr>
                <w:rFonts w:cs="Helvetica"/>
                <w:i/>
                <w:noProof/>
                <w:sz w:val="20"/>
              </w:rPr>
              <w:t xml:space="preserve"> </w:t>
            </w:r>
            <w:r w:rsidRPr="00A31A6D">
              <w:rPr>
                <w:rFonts w:cs="Helvetica"/>
                <w:noProof/>
                <w:sz w:val="20"/>
              </w:rPr>
              <w:t>som skal læres bort – det ønskede læringsutbyttet.</w:t>
            </w:r>
          </w:p>
          <w:p w:rsidR="00FA6D81" w:rsidRDefault="00FA6D81" w:rsidP="00FA6D81">
            <w:pPr>
              <w:rPr>
                <w:rFonts w:cs="Helvetica"/>
                <w:noProof/>
                <w:sz w:val="20"/>
              </w:rPr>
            </w:pPr>
          </w:p>
          <w:p w:rsidR="00FA6D81" w:rsidRPr="00A31A6D" w:rsidRDefault="00FA6D81" w:rsidP="00FA6D81">
            <w:pPr>
              <w:rPr>
                <w:rFonts w:cs="Helvetica"/>
                <w:noProof/>
                <w:sz w:val="20"/>
              </w:rPr>
            </w:pPr>
            <w:r w:rsidRPr="00A31A6D">
              <w:rPr>
                <w:rFonts w:cs="Helvetica"/>
                <w:noProof/>
                <w:sz w:val="20"/>
              </w:rPr>
              <w:t xml:space="preserve">Dette prinsippet handler om hvordan studentene samler fakta og kategoriserer det de ser, hører og leser. Det handler om å gi studentene flere muligheter til å oppnå forståelse i faget, både når det gjelder undervisningsmetoder og hvordan faget blir presentert i pensum. </w:t>
            </w:r>
          </w:p>
          <w:p w:rsidR="00FA6D81" w:rsidRPr="00FA6D81" w:rsidRDefault="00FA6D81" w:rsidP="00FA6D81">
            <w:pPr>
              <w:rPr>
                <w:rFonts w:cs="Helvetica"/>
                <w:noProof/>
                <w:sz w:val="20"/>
              </w:rPr>
            </w:pPr>
          </w:p>
        </w:tc>
      </w:tr>
      <w:tr w:rsidR="00FA6D81" w:rsidRPr="001D08CD" w:rsidTr="00FA6D81">
        <w:trPr>
          <w:trHeight w:val="1275"/>
        </w:trPr>
        <w:tc>
          <w:tcPr>
            <w:tcW w:w="8217" w:type="dxa"/>
            <w:gridSpan w:val="2"/>
          </w:tcPr>
          <w:p w:rsidR="00FA6D81" w:rsidRPr="00A31A6D" w:rsidRDefault="00FA6D81" w:rsidP="00A80A71">
            <w:pPr>
              <w:rPr>
                <w:sz w:val="20"/>
              </w:rPr>
            </w:pPr>
          </w:p>
          <w:p w:rsidR="00FA6D81" w:rsidRDefault="00FA6D81" w:rsidP="00A80A71">
            <w:pPr>
              <w:rPr>
                <w:b/>
                <w:sz w:val="20"/>
              </w:rPr>
            </w:pPr>
            <w:r w:rsidRPr="000724DD">
              <w:rPr>
                <w:b/>
                <w:sz w:val="20"/>
              </w:rPr>
              <w:t xml:space="preserve">Stimuler ulike måter å lære på ved å:  </w:t>
            </w:r>
          </w:p>
          <w:p w:rsidR="001F24BC" w:rsidRPr="000724DD" w:rsidRDefault="001F24BC" w:rsidP="00A80A71">
            <w:pPr>
              <w:rPr>
                <w:b/>
                <w:sz w:val="20"/>
              </w:rPr>
            </w:pPr>
          </w:p>
          <w:p w:rsidR="00FA6D81" w:rsidRPr="00A31A6D" w:rsidRDefault="00FA6D81" w:rsidP="00FA6D81">
            <w:pPr>
              <w:pStyle w:val="Listeavsnitt"/>
              <w:numPr>
                <w:ilvl w:val="0"/>
                <w:numId w:val="1"/>
              </w:numPr>
              <w:rPr>
                <w:sz w:val="20"/>
              </w:rPr>
            </w:pPr>
            <w:r w:rsidRPr="00A31A6D">
              <w:rPr>
                <w:sz w:val="20"/>
              </w:rPr>
              <w:t>Varier undervisnings</w:t>
            </w:r>
            <w:r>
              <w:rPr>
                <w:sz w:val="20"/>
              </w:rPr>
              <w:t>-</w:t>
            </w:r>
            <w:r w:rsidRPr="00A31A6D">
              <w:rPr>
                <w:sz w:val="20"/>
              </w:rPr>
              <w:t>metoder</w:t>
            </w:r>
            <w:r>
              <w:rPr>
                <w:sz w:val="20"/>
              </w:rPr>
              <w:t xml:space="preserve"> og virkemidler</w:t>
            </w:r>
            <w:r w:rsidRPr="00A31A6D">
              <w:rPr>
                <w:sz w:val="20"/>
              </w:rPr>
              <w:t xml:space="preserve"> slik at studentene kan ta inn kunnskapen på ulike vis. </w:t>
            </w:r>
          </w:p>
          <w:p w:rsidR="00FA6D81" w:rsidRPr="00A31A6D" w:rsidRDefault="00FA6D81" w:rsidP="00FA6D81">
            <w:pPr>
              <w:pStyle w:val="Listeavsnitt"/>
              <w:numPr>
                <w:ilvl w:val="0"/>
                <w:numId w:val="2"/>
              </w:numPr>
              <w:rPr>
                <w:sz w:val="20"/>
              </w:rPr>
            </w:pPr>
            <w:r w:rsidRPr="00A31A6D">
              <w:rPr>
                <w:sz w:val="20"/>
              </w:rPr>
              <w:t>Tilby digitale versjoner av studiemateriell (auditive/</w:t>
            </w:r>
            <w:r>
              <w:rPr>
                <w:sz w:val="20"/>
              </w:rPr>
              <w:t xml:space="preserve"> </w:t>
            </w:r>
            <w:r w:rsidRPr="00A31A6D">
              <w:rPr>
                <w:sz w:val="20"/>
              </w:rPr>
              <w:t>visuelle</w:t>
            </w:r>
            <w:r>
              <w:rPr>
                <w:sz w:val="20"/>
              </w:rPr>
              <w:t xml:space="preserve"> alt.</w:t>
            </w:r>
            <w:r w:rsidRPr="00A31A6D">
              <w:rPr>
                <w:sz w:val="20"/>
              </w:rPr>
              <w:t>), slik at studenten får tilgang på minst et medium som passer sine behov.</w:t>
            </w:r>
          </w:p>
          <w:p w:rsidR="00FA6D81" w:rsidRDefault="00FA6D81" w:rsidP="00FA6D81">
            <w:pPr>
              <w:pStyle w:val="Listeavsnitt"/>
              <w:numPr>
                <w:ilvl w:val="0"/>
                <w:numId w:val="2"/>
              </w:numPr>
              <w:rPr>
                <w:sz w:val="20"/>
              </w:rPr>
            </w:pPr>
            <w:r w:rsidRPr="00A31A6D">
              <w:rPr>
                <w:sz w:val="20"/>
              </w:rPr>
              <w:t xml:space="preserve">Digitaliser undervisning og pensum slik at studentene kan benytte spesialutstyr tilpasset sine vansker og </w:t>
            </w:r>
            <w:r>
              <w:rPr>
                <w:sz w:val="20"/>
              </w:rPr>
              <w:t xml:space="preserve">studere uavhengig av tid og </w:t>
            </w:r>
            <w:r w:rsidRPr="00A31A6D">
              <w:rPr>
                <w:sz w:val="20"/>
              </w:rPr>
              <w:t xml:space="preserve">sted.  </w:t>
            </w:r>
          </w:p>
          <w:p w:rsidR="00FA6D81" w:rsidRPr="001D08CD" w:rsidRDefault="00FA6D81" w:rsidP="00FA6D81">
            <w:pPr>
              <w:pStyle w:val="Listeavsnitt"/>
              <w:rPr>
                <w:sz w:val="20"/>
              </w:rPr>
            </w:pPr>
          </w:p>
        </w:tc>
      </w:tr>
      <w:tr w:rsidR="00FA6D81" w:rsidRPr="00A31A6D" w:rsidTr="00FA6D81">
        <w:trPr>
          <w:trHeight w:val="1596"/>
        </w:trPr>
        <w:tc>
          <w:tcPr>
            <w:tcW w:w="8217" w:type="dxa"/>
            <w:gridSpan w:val="2"/>
          </w:tcPr>
          <w:p w:rsidR="00FA6D81" w:rsidRPr="000724DD" w:rsidRDefault="00FA6D81" w:rsidP="00A80A71">
            <w:pPr>
              <w:rPr>
                <w:b/>
                <w:sz w:val="20"/>
              </w:rPr>
            </w:pPr>
          </w:p>
          <w:p w:rsidR="00FA6D81" w:rsidRPr="000724DD" w:rsidRDefault="00FA6D81" w:rsidP="00A80A71">
            <w:pPr>
              <w:rPr>
                <w:b/>
                <w:sz w:val="20"/>
              </w:rPr>
            </w:pPr>
            <w:r w:rsidRPr="000724DD">
              <w:rPr>
                <w:b/>
                <w:sz w:val="20"/>
              </w:rPr>
              <w:t xml:space="preserve">Gi studentene flere muligheter til å oppnå forståelse i faget ved å: </w:t>
            </w:r>
          </w:p>
          <w:p w:rsidR="00FA6D81" w:rsidRPr="00A31A6D" w:rsidRDefault="00FA6D81" w:rsidP="00A80A71">
            <w:pPr>
              <w:rPr>
                <w:sz w:val="20"/>
              </w:rPr>
            </w:pPr>
          </w:p>
          <w:p w:rsidR="00FA6D81" w:rsidRPr="00A31A6D" w:rsidRDefault="00FA6D81" w:rsidP="00FA6D81">
            <w:pPr>
              <w:pStyle w:val="Listeavsnitt"/>
              <w:numPr>
                <w:ilvl w:val="0"/>
                <w:numId w:val="1"/>
              </w:numPr>
              <w:rPr>
                <w:sz w:val="20"/>
              </w:rPr>
            </w:pPr>
            <w:r w:rsidRPr="00A31A6D">
              <w:rPr>
                <w:sz w:val="20"/>
              </w:rPr>
              <w:t>Aktiver og tilfør bakgrunnsinformasjon for det studentene skal lære</w:t>
            </w:r>
          </w:p>
          <w:p w:rsidR="00FA6D81" w:rsidRPr="00A31A6D" w:rsidRDefault="00FA6D81" w:rsidP="00FA6D81">
            <w:pPr>
              <w:pStyle w:val="Listeavsnitt"/>
              <w:numPr>
                <w:ilvl w:val="0"/>
                <w:numId w:val="1"/>
              </w:numPr>
              <w:rPr>
                <w:sz w:val="20"/>
              </w:rPr>
            </w:pPr>
            <w:r w:rsidRPr="00A31A6D">
              <w:rPr>
                <w:sz w:val="20"/>
              </w:rPr>
              <w:t xml:space="preserve">Fremhev kritiske elementer og sammenhenger. </w:t>
            </w:r>
          </w:p>
          <w:p w:rsidR="00FA6D81" w:rsidRPr="00A31A6D" w:rsidRDefault="00FA6D81" w:rsidP="00FA6D81">
            <w:pPr>
              <w:pStyle w:val="Listeavsnitt"/>
              <w:numPr>
                <w:ilvl w:val="0"/>
                <w:numId w:val="1"/>
              </w:numPr>
              <w:rPr>
                <w:sz w:val="20"/>
              </w:rPr>
            </w:pPr>
            <w:r w:rsidRPr="00A31A6D">
              <w:rPr>
                <w:sz w:val="20"/>
              </w:rPr>
              <w:t>Bistå studentene til å se hvordan de kan benytte den nye informasjonen de har lært i ulike sammenhenger, i andre fag og i arbeidslivet.</w:t>
            </w:r>
          </w:p>
          <w:p w:rsidR="00FA6D81" w:rsidRPr="00A31A6D" w:rsidRDefault="00FA6D81" w:rsidP="00FA6D81">
            <w:pPr>
              <w:pStyle w:val="Listeavsnitt"/>
              <w:numPr>
                <w:ilvl w:val="0"/>
                <w:numId w:val="1"/>
              </w:numPr>
              <w:rPr>
                <w:sz w:val="20"/>
              </w:rPr>
            </w:pPr>
            <w:r w:rsidRPr="00A31A6D">
              <w:rPr>
                <w:sz w:val="20"/>
              </w:rPr>
              <w:t xml:space="preserve">Aktiviser studentene i undervisningen, gjerne ved å få de til å presentere fagstoffet for hverandre (for eks. dele egne notater med hverandre digitalt). </w:t>
            </w:r>
          </w:p>
          <w:p w:rsidR="00FA6D81" w:rsidRPr="00A31A6D" w:rsidRDefault="00FA6D81" w:rsidP="00A80A71">
            <w:pPr>
              <w:rPr>
                <w:sz w:val="20"/>
              </w:rPr>
            </w:pPr>
          </w:p>
        </w:tc>
      </w:tr>
      <w:tr w:rsidR="00FA6D81" w:rsidRPr="00A31A6D" w:rsidTr="00FA6D81">
        <w:trPr>
          <w:trHeight w:val="1596"/>
        </w:trPr>
        <w:tc>
          <w:tcPr>
            <w:tcW w:w="8217" w:type="dxa"/>
            <w:gridSpan w:val="2"/>
          </w:tcPr>
          <w:p w:rsidR="00FA6D81" w:rsidRPr="00A31A6D" w:rsidRDefault="00FA6D81" w:rsidP="00A80A71">
            <w:pPr>
              <w:rPr>
                <w:sz w:val="20"/>
              </w:rPr>
            </w:pPr>
          </w:p>
          <w:p w:rsidR="00FA6D81" w:rsidRPr="000724DD" w:rsidRDefault="00FA6D81" w:rsidP="00A80A71">
            <w:pPr>
              <w:rPr>
                <w:b/>
                <w:sz w:val="20"/>
              </w:rPr>
            </w:pPr>
            <w:r w:rsidRPr="000724DD">
              <w:rPr>
                <w:b/>
                <w:sz w:val="20"/>
              </w:rPr>
              <w:t xml:space="preserve">Snakk et språk studentene forstår ved å: </w:t>
            </w:r>
          </w:p>
          <w:p w:rsidR="00FA6D81" w:rsidRPr="00A31A6D" w:rsidRDefault="00FA6D81" w:rsidP="00A80A71">
            <w:pPr>
              <w:rPr>
                <w:sz w:val="20"/>
              </w:rPr>
            </w:pPr>
          </w:p>
          <w:p w:rsidR="00FA6D81" w:rsidRPr="00A31A6D" w:rsidRDefault="00FA6D81" w:rsidP="00FA6D81">
            <w:pPr>
              <w:pStyle w:val="Listeavsnitt"/>
              <w:numPr>
                <w:ilvl w:val="0"/>
                <w:numId w:val="3"/>
              </w:numPr>
              <w:rPr>
                <w:sz w:val="20"/>
              </w:rPr>
            </w:pPr>
            <w:r w:rsidRPr="00A31A6D">
              <w:rPr>
                <w:sz w:val="20"/>
              </w:rPr>
              <w:t xml:space="preserve">Forklar vokabular og symboler av betydning </w:t>
            </w:r>
            <w:r w:rsidR="00D173EA">
              <w:rPr>
                <w:sz w:val="20"/>
              </w:rPr>
              <w:t>(spesielt viktig å formidle læringsmål på en måte som studentene forstår hva som forventes av dem)</w:t>
            </w:r>
            <w:bookmarkStart w:id="0" w:name="_GoBack"/>
            <w:bookmarkEnd w:id="0"/>
            <w:r w:rsidR="00D173EA">
              <w:rPr>
                <w:sz w:val="20"/>
              </w:rPr>
              <w:t xml:space="preserve">. </w:t>
            </w:r>
          </w:p>
          <w:p w:rsidR="00FA6D81" w:rsidRPr="00A31A6D" w:rsidRDefault="00FA6D81" w:rsidP="00FA6D81">
            <w:pPr>
              <w:pStyle w:val="Listeavsnitt"/>
              <w:numPr>
                <w:ilvl w:val="0"/>
                <w:numId w:val="3"/>
              </w:numPr>
              <w:rPr>
                <w:sz w:val="20"/>
              </w:rPr>
            </w:pPr>
            <w:r w:rsidRPr="00A31A6D">
              <w:rPr>
                <w:sz w:val="20"/>
              </w:rPr>
              <w:t>Avklar syntaks</w:t>
            </w:r>
          </w:p>
          <w:p w:rsidR="00FA6D81" w:rsidRPr="00A31A6D" w:rsidRDefault="00FA6D81" w:rsidP="00FA6D81">
            <w:pPr>
              <w:pStyle w:val="Listeavsnitt"/>
              <w:numPr>
                <w:ilvl w:val="0"/>
                <w:numId w:val="3"/>
              </w:numPr>
              <w:rPr>
                <w:sz w:val="20"/>
              </w:rPr>
            </w:pPr>
            <w:r w:rsidRPr="00A31A6D">
              <w:rPr>
                <w:sz w:val="20"/>
              </w:rPr>
              <w:t xml:space="preserve">Støtt dekoding av tekster og matematisk notasjoner </w:t>
            </w:r>
          </w:p>
          <w:p w:rsidR="00FA6D81" w:rsidRPr="00A31A6D" w:rsidRDefault="00FA6D81" w:rsidP="00FA6D81">
            <w:pPr>
              <w:pStyle w:val="Listeavsnitt"/>
              <w:numPr>
                <w:ilvl w:val="0"/>
                <w:numId w:val="3"/>
              </w:numPr>
              <w:rPr>
                <w:sz w:val="20"/>
              </w:rPr>
            </w:pPr>
            <w:r w:rsidRPr="00A31A6D">
              <w:rPr>
                <w:sz w:val="20"/>
              </w:rPr>
              <w:t>Forklar forståelse og sammenhenger på flere måter</w:t>
            </w:r>
          </w:p>
          <w:p w:rsidR="00FA6D81" w:rsidRPr="00A31A6D" w:rsidRDefault="00FA6D81" w:rsidP="00FA6D81">
            <w:pPr>
              <w:pStyle w:val="Listeavsnitt"/>
              <w:numPr>
                <w:ilvl w:val="0"/>
                <w:numId w:val="3"/>
              </w:numPr>
              <w:rPr>
                <w:sz w:val="20"/>
              </w:rPr>
            </w:pPr>
            <w:r w:rsidRPr="00A31A6D">
              <w:rPr>
                <w:sz w:val="20"/>
              </w:rPr>
              <w:t xml:space="preserve">Bruk mer tid på elementer som er ekstra viktig for studentene å forstå. </w:t>
            </w:r>
          </w:p>
          <w:p w:rsidR="00FA6D81" w:rsidRDefault="00FA6D81" w:rsidP="00FA6D81">
            <w:pPr>
              <w:pStyle w:val="Listeavsnitt"/>
              <w:numPr>
                <w:ilvl w:val="0"/>
                <w:numId w:val="3"/>
              </w:numPr>
              <w:rPr>
                <w:sz w:val="20"/>
              </w:rPr>
            </w:pPr>
            <w:r w:rsidRPr="00A31A6D">
              <w:rPr>
                <w:sz w:val="20"/>
              </w:rPr>
              <w:t xml:space="preserve">Illustrer gjennom bruk av ulike medier. </w:t>
            </w:r>
          </w:p>
          <w:p w:rsidR="00FA6D81" w:rsidRPr="00A31A6D" w:rsidRDefault="00FA6D81" w:rsidP="00FA6D81">
            <w:pPr>
              <w:pStyle w:val="Listeavsnitt"/>
              <w:rPr>
                <w:sz w:val="20"/>
              </w:rPr>
            </w:pPr>
          </w:p>
        </w:tc>
      </w:tr>
      <w:tr w:rsidR="00FA6D81" w:rsidRPr="00A31A6D" w:rsidTr="00FC3DF0">
        <w:trPr>
          <w:trHeight w:val="274"/>
        </w:trPr>
        <w:tc>
          <w:tcPr>
            <w:tcW w:w="8217" w:type="dxa"/>
            <w:gridSpan w:val="2"/>
          </w:tcPr>
          <w:p w:rsidR="007C4EAB" w:rsidRDefault="00FC3DF0" w:rsidP="00986FF0">
            <w:pPr>
              <w:rPr>
                <w:b/>
                <w:sz w:val="20"/>
              </w:rPr>
            </w:pPr>
            <w:r>
              <w:rPr>
                <w:b/>
                <w:sz w:val="20"/>
              </w:rPr>
              <w:br/>
            </w:r>
            <w:r w:rsidR="00986FF0">
              <w:rPr>
                <w:b/>
                <w:sz w:val="20"/>
              </w:rPr>
              <w:t xml:space="preserve">Fra universelt til spesielt - </w:t>
            </w:r>
            <w:r w:rsidR="00FA6D81" w:rsidRPr="00986FF0">
              <w:rPr>
                <w:b/>
                <w:sz w:val="20"/>
              </w:rPr>
              <w:t xml:space="preserve">Eksempler </w:t>
            </w:r>
          </w:p>
          <w:p w:rsidR="008B6E45" w:rsidRPr="008B6E45" w:rsidRDefault="008B6E45" w:rsidP="00986FF0">
            <w:pPr>
              <w:rPr>
                <w:b/>
                <w:sz w:val="20"/>
              </w:rPr>
            </w:pPr>
          </w:p>
          <w:p w:rsidR="00FC3DF0" w:rsidRDefault="007C4EAB" w:rsidP="00FC3DF0">
            <w:pPr>
              <w:rPr>
                <w:sz w:val="20"/>
              </w:rPr>
            </w:pPr>
            <w:r>
              <w:rPr>
                <w:b/>
                <w:i/>
                <w:sz w:val="20"/>
              </w:rPr>
              <w:t xml:space="preserve">Studenter med dysleksi </w:t>
            </w:r>
            <w:r w:rsidR="00FC3DF0">
              <w:rPr>
                <w:b/>
                <w:i/>
                <w:sz w:val="20"/>
              </w:rPr>
              <w:t>og</w:t>
            </w:r>
            <w:r>
              <w:rPr>
                <w:b/>
                <w:i/>
                <w:sz w:val="20"/>
              </w:rPr>
              <w:t xml:space="preserve"> ADHD </w:t>
            </w:r>
            <w:r>
              <w:rPr>
                <w:sz w:val="20"/>
              </w:rPr>
              <w:t xml:space="preserve">kan ha vansker med å få med seg informasjon i en </w:t>
            </w:r>
            <w:r w:rsidR="001C45FE">
              <w:rPr>
                <w:sz w:val="20"/>
              </w:rPr>
              <w:t>tradisjonell forelesning</w:t>
            </w:r>
            <w:r>
              <w:rPr>
                <w:sz w:val="20"/>
              </w:rPr>
              <w:t xml:space="preserve"> og ved bruk av Power </w:t>
            </w:r>
            <w:r w:rsidR="00640E27">
              <w:rPr>
                <w:sz w:val="20"/>
              </w:rPr>
              <w:t>Point. Opptak av undervisning og</w:t>
            </w:r>
            <w:r>
              <w:rPr>
                <w:sz w:val="20"/>
              </w:rPr>
              <w:t xml:space="preserve"> bruk </w:t>
            </w:r>
            <w:r w:rsidR="00640E27">
              <w:rPr>
                <w:sz w:val="20"/>
              </w:rPr>
              <w:t>av</w:t>
            </w:r>
            <w:r>
              <w:rPr>
                <w:sz w:val="20"/>
              </w:rPr>
              <w:t xml:space="preserve"> korte videoklipp vil gjøre at de holder oppmerksomheten og får med seg mer av informasjonen. </w:t>
            </w:r>
          </w:p>
          <w:p w:rsidR="008B6E45" w:rsidRDefault="008B6E45" w:rsidP="00FC3DF0">
            <w:pPr>
              <w:rPr>
                <w:sz w:val="20"/>
              </w:rPr>
            </w:pPr>
          </w:p>
          <w:p w:rsidR="008B6E45" w:rsidRDefault="008B6E45" w:rsidP="00FC3DF0">
            <w:pPr>
              <w:rPr>
                <w:sz w:val="20"/>
              </w:rPr>
            </w:pPr>
            <w:r w:rsidRPr="007C4EAB">
              <w:rPr>
                <w:b/>
                <w:i/>
                <w:sz w:val="20"/>
              </w:rPr>
              <w:t>Studenter med Asperger syndrom</w:t>
            </w:r>
            <w:r>
              <w:rPr>
                <w:sz w:val="20"/>
              </w:rPr>
              <w:t xml:space="preserve"> kan ha stort utbytte av en tradisjonell forelesning. En forutsetning er at den er tydelig, informativ og tilfører bakgrunnsinformasjon, formål og nytteverdi. For disse studentene vil gruppearbeid være mer utfordrende, da de ofte foretrekker å jobbe på egenhånd og de ofte synes at det faglige blir forstyrret av sosiale forhold i gruppelæring. </w:t>
            </w:r>
          </w:p>
          <w:p w:rsidR="00797654" w:rsidRDefault="00797654" w:rsidP="00FC3DF0">
            <w:pPr>
              <w:rPr>
                <w:sz w:val="20"/>
              </w:rPr>
            </w:pPr>
          </w:p>
          <w:p w:rsidR="00797654" w:rsidRPr="00797654" w:rsidRDefault="00797654" w:rsidP="00FC3DF0">
            <w:pPr>
              <w:rPr>
                <w:sz w:val="20"/>
              </w:rPr>
            </w:pPr>
            <w:r>
              <w:rPr>
                <w:b/>
                <w:i/>
                <w:sz w:val="20"/>
              </w:rPr>
              <w:t xml:space="preserve">Studenter med synsnedsettelse, dysleksi, Asperger syndrom og ADHD </w:t>
            </w:r>
            <w:r>
              <w:rPr>
                <w:sz w:val="20"/>
              </w:rPr>
              <w:t xml:space="preserve">kan alle ha vansker med å lese og få med seg informasjon i fysiske lærebøker. De to førstnevnte vil ha vansker med å lese teksten, mens de to sistnevnte </w:t>
            </w:r>
            <w:r w:rsidR="00815ED5">
              <w:rPr>
                <w:sz w:val="20"/>
              </w:rPr>
              <w:t xml:space="preserve">gruppene </w:t>
            </w:r>
            <w:r>
              <w:rPr>
                <w:sz w:val="20"/>
              </w:rPr>
              <w:t xml:space="preserve">vil ha vansker med å holde konsentrasjon over tid. Tilby digitale alternativer slik at studenter som trenger det kan benytte talesyntese og få opplest teksten. </w:t>
            </w:r>
          </w:p>
          <w:p w:rsidR="00986FF0" w:rsidRPr="007C4EAB" w:rsidRDefault="007C4EAB" w:rsidP="00FC3DF0">
            <w:pPr>
              <w:rPr>
                <w:sz w:val="20"/>
              </w:rPr>
            </w:pPr>
            <w:r>
              <w:rPr>
                <w:sz w:val="20"/>
              </w:rPr>
              <w:tab/>
            </w:r>
          </w:p>
        </w:tc>
      </w:tr>
    </w:tbl>
    <w:p w:rsidR="00FD6BED" w:rsidRDefault="00FD6BED"/>
    <w:sectPr w:rsidR="00FD6B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654" w:rsidRDefault="00797654" w:rsidP="00797654">
      <w:r>
        <w:separator/>
      </w:r>
    </w:p>
  </w:endnote>
  <w:endnote w:type="continuationSeparator" w:id="0">
    <w:p w:rsidR="00797654" w:rsidRDefault="00797654" w:rsidP="0079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654" w:rsidRDefault="00797654" w:rsidP="00797654">
      <w:r>
        <w:separator/>
      </w:r>
    </w:p>
  </w:footnote>
  <w:footnote w:type="continuationSeparator" w:id="0">
    <w:p w:rsidR="00797654" w:rsidRDefault="00797654" w:rsidP="00797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52409"/>
    <w:multiLevelType w:val="hybridMultilevel"/>
    <w:tmpl w:val="65502144"/>
    <w:lvl w:ilvl="0" w:tplc="D3807F26">
      <w:start w:val="1"/>
      <w:numFmt w:val="bullet"/>
      <w:lvlText w:val=""/>
      <w:lvlJc w:val="left"/>
      <w:pPr>
        <w:ind w:left="720" w:hanging="60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C020A"/>
    <w:multiLevelType w:val="hybridMultilevel"/>
    <w:tmpl w:val="B5E21350"/>
    <w:lvl w:ilvl="0" w:tplc="D3807F26">
      <w:start w:val="1"/>
      <w:numFmt w:val="bullet"/>
      <w:lvlText w:val=""/>
      <w:lvlJc w:val="left"/>
      <w:pPr>
        <w:ind w:left="720" w:hanging="60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DC1F4A"/>
    <w:multiLevelType w:val="hybridMultilevel"/>
    <w:tmpl w:val="4762F1BE"/>
    <w:lvl w:ilvl="0" w:tplc="D3807F26">
      <w:start w:val="1"/>
      <w:numFmt w:val="bullet"/>
      <w:lvlText w:val=""/>
      <w:lvlJc w:val="left"/>
      <w:pPr>
        <w:ind w:left="720" w:hanging="60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81"/>
    <w:rsid w:val="001C45FE"/>
    <w:rsid w:val="001F24BC"/>
    <w:rsid w:val="004678FC"/>
    <w:rsid w:val="004C4E78"/>
    <w:rsid w:val="005C57AC"/>
    <w:rsid w:val="00640E27"/>
    <w:rsid w:val="00797654"/>
    <w:rsid w:val="007C4EAB"/>
    <w:rsid w:val="00815ED5"/>
    <w:rsid w:val="008B6E45"/>
    <w:rsid w:val="008F4B73"/>
    <w:rsid w:val="00986FF0"/>
    <w:rsid w:val="009B1EB4"/>
    <w:rsid w:val="00A27387"/>
    <w:rsid w:val="00D173EA"/>
    <w:rsid w:val="00FA6D81"/>
    <w:rsid w:val="00FC3DF0"/>
    <w:rsid w:val="00FD6B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35530-7433-4DEC-81E7-FAD85BB1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D81"/>
    <w:pPr>
      <w:spacing w:after="0" w:line="240" w:lineRule="auto"/>
    </w:pPr>
    <w:rPr>
      <w:rFonts w:eastAsiaTheme="minorEastAsia"/>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A6D81"/>
    <w:pPr>
      <w:spacing w:after="0" w:line="240" w:lineRule="auto"/>
    </w:pPr>
    <w:rPr>
      <w:rFonts w:eastAsiaTheme="minorEastAsia"/>
      <w:sz w:val="24"/>
      <w:szCs w:val="24"/>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A6D81"/>
    <w:pPr>
      <w:ind w:left="720"/>
      <w:contextualSpacing/>
    </w:pPr>
  </w:style>
  <w:style w:type="paragraph" w:styleId="Topptekst">
    <w:name w:val="header"/>
    <w:basedOn w:val="Normal"/>
    <w:link w:val="TopptekstTegn"/>
    <w:uiPriority w:val="99"/>
    <w:unhideWhenUsed/>
    <w:rsid w:val="00797654"/>
    <w:pPr>
      <w:tabs>
        <w:tab w:val="center" w:pos="4513"/>
        <w:tab w:val="right" w:pos="9026"/>
      </w:tabs>
    </w:pPr>
  </w:style>
  <w:style w:type="character" w:customStyle="1" w:styleId="TopptekstTegn">
    <w:name w:val="Topptekst Tegn"/>
    <w:basedOn w:val="Standardskriftforavsnitt"/>
    <w:link w:val="Topptekst"/>
    <w:uiPriority w:val="99"/>
    <w:rsid w:val="00797654"/>
    <w:rPr>
      <w:rFonts w:eastAsiaTheme="minorEastAsia"/>
      <w:sz w:val="24"/>
      <w:szCs w:val="24"/>
      <w:lang w:eastAsia="nb-NO"/>
    </w:rPr>
  </w:style>
  <w:style w:type="paragraph" w:styleId="Bunntekst">
    <w:name w:val="footer"/>
    <w:basedOn w:val="Normal"/>
    <w:link w:val="BunntekstTegn"/>
    <w:uiPriority w:val="99"/>
    <w:unhideWhenUsed/>
    <w:rsid w:val="00797654"/>
    <w:pPr>
      <w:tabs>
        <w:tab w:val="center" w:pos="4513"/>
        <w:tab w:val="right" w:pos="9026"/>
      </w:tabs>
    </w:pPr>
  </w:style>
  <w:style w:type="character" w:customStyle="1" w:styleId="BunntekstTegn">
    <w:name w:val="Bunntekst Tegn"/>
    <w:basedOn w:val="Standardskriftforavsnitt"/>
    <w:link w:val="Bunntekst"/>
    <w:uiPriority w:val="99"/>
    <w:rsid w:val="00797654"/>
    <w:rPr>
      <w:rFonts w:eastAsiaTheme="minorEastAsia"/>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2391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Jeanette Olaussen</dc:creator>
  <cp:keywords/>
  <dc:description/>
  <cp:lastModifiedBy>Elinor Jeanette Olaussen</cp:lastModifiedBy>
  <cp:revision>9</cp:revision>
  <dcterms:created xsi:type="dcterms:W3CDTF">2016-05-12T13:04:00Z</dcterms:created>
  <dcterms:modified xsi:type="dcterms:W3CDTF">2016-05-13T08:34:00Z</dcterms:modified>
</cp:coreProperties>
</file>